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3146D" w14:textId="61F92DCC" w:rsidR="000608B4" w:rsidRPr="000608B4" w:rsidRDefault="000608B4" w:rsidP="000608B4">
      <w:pPr>
        <w:spacing w:after="200" w:line="276" w:lineRule="auto"/>
        <w:jc w:val="center"/>
        <w:rPr>
          <w:rFonts w:ascii="Verdana" w:eastAsia="Times New Roman" w:hAnsi="Verdana" w:cs="Times New Roman"/>
          <w:b/>
          <w:lang w:eastAsia="en-GB"/>
        </w:rPr>
      </w:pPr>
      <w:r w:rsidRPr="000608B4">
        <w:rPr>
          <w:rFonts w:ascii="Verdana" w:eastAsia="Times New Roman" w:hAnsi="Verdana" w:cs="Tahoma"/>
          <w:b/>
          <w:szCs w:val="28"/>
          <w:lang w:eastAsia="en-GB"/>
        </w:rPr>
        <w:t>CQI Governance &amp; Risk Committee Terms of Reference</w:t>
      </w:r>
    </w:p>
    <w:p w14:paraId="32138366"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Purpose and Scope</w:t>
      </w:r>
    </w:p>
    <w:p w14:paraId="31A4A5D0" w14:textId="77777777" w:rsidR="000608B4" w:rsidRPr="000608B4" w:rsidRDefault="000608B4" w:rsidP="000608B4">
      <w:pPr>
        <w:numPr>
          <w:ilvl w:val="1"/>
          <w:numId w:val="2"/>
        </w:numPr>
        <w:tabs>
          <w:tab w:val="num" w:pos="993"/>
        </w:tabs>
        <w:spacing w:before="120" w:after="120" w:line="240" w:lineRule="auto"/>
        <w:ind w:left="993" w:hanging="567"/>
        <w:rPr>
          <w:rFonts w:ascii="Verdana" w:eastAsia="Times New Roman" w:hAnsi="Verdana" w:cs="Tahoma"/>
          <w:sz w:val="20"/>
          <w:szCs w:val="20"/>
          <w:lang w:eastAsia="en-GB"/>
        </w:rPr>
      </w:pPr>
      <w:r w:rsidRPr="000608B4">
        <w:rPr>
          <w:rFonts w:ascii="Verdana" w:eastAsia="Times New Roman" w:hAnsi="Verdana" w:cs="Tahoma"/>
          <w:sz w:val="20"/>
          <w:szCs w:val="20"/>
          <w:lang w:eastAsia="en-GB"/>
        </w:rPr>
        <w:t>The Governance and Risk Committee (the GRC) is a sub-committee of the Board of Trustees. On behalf of the Board the GRC:</w:t>
      </w:r>
    </w:p>
    <w:p w14:paraId="1479FA87" w14:textId="77777777" w:rsidR="000608B4" w:rsidRPr="000608B4" w:rsidRDefault="000608B4" w:rsidP="000608B4">
      <w:pPr>
        <w:numPr>
          <w:ilvl w:val="0"/>
          <w:numId w:val="3"/>
        </w:numPr>
        <w:spacing w:before="120" w:after="120" w:line="240" w:lineRule="auto"/>
        <w:contextualSpacing/>
        <w:rPr>
          <w:rFonts w:ascii="Verdana" w:eastAsia="Times New Roman" w:hAnsi="Verdana" w:cs="Tahoma"/>
          <w:sz w:val="20"/>
          <w:szCs w:val="20"/>
          <w:lang w:eastAsia="en-GB"/>
        </w:rPr>
      </w:pPr>
      <w:r w:rsidRPr="000608B4">
        <w:rPr>
          <w:rFonts w:ascii="Verdana" w:eastAsia="Times New Roman" w:hAnsi="Verdana" w:cs="Tahoma"/>
          <w:sz w:val="20"/>
          <w:szCs w:val="20"/>
          <w:lang w:eastAsia="en-GB"/>
        </w:rPr>
        <w:t xml:space="preserve">Ensures the system of corporate and operational governance complies with current good practice and supports the purpose and strategic intent of the CQI. </w:t>
      </w:r>
    </w:p>
    <w:p w14:paraId="268CB7FB" w14:textId="77777777" w:rsidR="000608B4" w:rsidRPr="000608B4" w:rsidRDefault="000608B4" w:rsidP="000608B4">
      <w:pPr>
        <w:spacing w:before="120" w:after="120" w:line="240" w:lineRule="auto"/>
        <w:ind w:left="1353"/>
        <w:contextualSpacing/>
        <w:rPr>
          <w:rFonts w:ascii="Verdana" w:eastAsia="Times New Roman" w:hAnsi="Verdana" w:cs="Tahoma"/>
          <w:sz w:val="20"/>
          <w:szCs w:val="20"/>
          <w:lang w:eastAsia="en-GB"/>
        </w:rPr>
      </w:pPr>
    </w:p>
    <w:p w14:paraId="7F7ACEBA" w14:textId="76F6B6A4" w:rsidR="000608B4" w:rsidRDefault="000608B4" w:rsidP="000608B4">
      <w:pPr>
        <w:numPr>
          <w:ilvl w:val="0"/>
          <w:numId w:val="3"/>
        </w:numPr>
        <w:spacing w:before="120" w:after="120" w:line="240" w:lineRule="auto"/>
        <w:contextualSpacing/>
        <w:rPr>
          <w:rFonts w:ascii="Verdana" w:eastAsia="Times New Roman" w:hAnsi="Verdana" w:cs="Tahoma"/>
          <w:sz w:val="20"/>
          <w:szCs w:val="20"/>
          <w:lang w:eastAsia="en-GB"/>
        </w:rPr>
      </w:pPr>
      <w:r w:rsidRPr="000608B4">
        <w:rPr>
          <w:rFonts w:ascii="Verdana" w:eastAsia="Times New Roman" w:hAnsi="Verdana" w:cs="Tahoma"/>
          <w:sz w:val="20"/>
          <w:szCs w:val="20"/>
          <w:lang w:eastAsia="en-GB"/>
        </w:rPr>
        <w:t xml:space="preserve">Ensures that the system of risk management effectively addresses threat and opportunity in line with compliance requirements and strategic intent.  </w:t>
      </w:r>
    </w:p>
    <w:p w14:paraId="71C998FA" w14:textId="0C9EE12D" w:rsidR="001F5D51" w:rsidRPr="000608B4" w:rsidRDefault="001F5D51" w:rsidP="001F5D51">
      <w:pPr>
        <w:spacing w:before="120" w:after="120" w:line="240" w:lineRule="auto"/>
        <w:contextualSpacing/>
        <w:rPr>
          <w:rFonts w:ascii="Verdana" w:eastAsia="Times New Roman" w:hAnsi="Verdana" w:cs="Tahoma"/>
          <w:sz w:val="20"/>
          <w:szCs w:val="20"/>
          <w:lang w:eastAsia="en-GB"/>
        </w:rPr>
      </w:pPr>
    </w:p>
    <w:p w14:paraId="2559BEC4" w14:textId="77777777" w:rsidR="000608B4" w:rsidRPr="000608B4" w:rsidRDefault="000608B4" w:rsidP="000608B4">
      <w:pPr>
        <w:numPr>
          <w:ilvl w:val="1"/>
          <w:numId w:val="2"/>
        </w:numPr>
        <w:tabs>
          <w:tab w:val="num" w:pos="993"/>
        </w:tabs>
        <w:spacing w:before="120" w:after="120" w:line="240" w:lineRule="auto"/>
        <w:ind w:left="993" w:hanging="567"/>
        <w:rPr>
          <w:rFonts w:ascii="Verdana" w:eastAsia="Times New Roman" w:hAnsi="Verdana" w:cs="Tahoma"/>
          <w:sz w:val="20"/>
          <w:szCs w:val="20"/>
          <w:lang w:eastAsia="en-GB"/>
        </w:rPr>
      </w:pPr>
      <w:r w:rsidRPr="000608B4">
        <w:rPr>
          <w:rFonts w:ascii="Verdana" w:eastAsia="Times New Roman" w:hAnsi="Verdana" w:cs="Tahoma"/>
          <w:sz w:val="20"/>
          <w:szCs w:val="20"/>
          <w:lang w:eastAsia="en-GB"/>
        </w:rPr>
        <w:t xml:space="preserve">The scope of the GRC excludes that defined in the CQI Finance &amp; Remuneration Committee (FRC), although these committees shall work together on matters where required or directed by the Board. </w:t>
      </w:r>
    </w:p>
    <w:p w14:paraId="7EF82F27" w14:textId="77777777" w:rsidR="000608B4" w:rsidRPr="000608B4" w:rsidRDefault="000608B4" w:rsidP="000608B4">
      <w:pPr>
        <w:spacing w:before="120" w:after="120" w:line="240" w:lineRule="auto"/>
        <w:ind w:left="1353"/>
        <w:contextualSpacing/>
        <w:rPr>
          <w:rFonts w:ascii="Verdana" w:eastAsia="Times New Roman" w:hAnsi="Verdana" w:cs="Tahoma"/>
          <w:sz w:val="20"/>
          <w:szCs w:val="20"/>
          <w:lang w:eastAsia="en-GB"/>
        </w:rPr>
      </w:pPr>
    </w:p>
    <w:p w14:paraId="1235F617" w14:textId="77777777" w:rsidR="000608B4" w:rsidRPr="000608B4" w:rsidRDefault="000608B4" w:rsidP="000608B4">
      <w:pPr>
        <w:keepNext/>
        <w:numPr>
          <w:ilvl w:val="0"/>
          <w:numId w:val="1"/>
        </w:numPr>
        <w:spacing w:before="12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Accountabilities and Communication</w:t>
      </w:r>
    </w:p>
    <w:p w14:paraId="3B2E7AD7"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 xml:space="preserve">The Committee works in partnership with the Executive and is accountable to the Board. </w:t>
      </w:r>
    </w:p>
    <w:p w14:paraId="012B6393"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Duties</w:t>
      </w:r>
    </w:p>
    <w:p w14:paraId="7897AD3B" w14:textId="77777777" w:rsidR="000608B4" w:rsidRPr="000608B4" w:rsidRDefault="000608B4" w:rsidP="000608B4">
      <w:pPr>
        <w:numPr>
          <w:ilvl w:val="1"/>
          <w:numId w:val="1"/>
        </w:numPr>
        <w:tabs>
          <w:tab w:val="num" w:pos="1418"/>
        </w:tabs>
        <w:spacing w:before="120" w:after="120" w:line="240" w:lineRule="auto"/>
        <w:ind w:left="993" w:hanging="567"/>
        <w:contextualSpacing/>
        <w:rPr>
          <w:rFonts w:ascii="Verdana" w:eastAsia="Times New Roman" w:hAnsi="Verdana" w:cs="FrutigerLTStd-Light"/>
          <w:sz w:val="20"/>
          <w:szCs w:val="20"/>
          <w:lang w:eastAsia="en-GB"/>
        </w:rPr>
      </w:pPr>
      <w:r w:rsidRPr="000608B4">
        <w:rPr>
          <w:rFonts w:ascii="Verdana" w:eastAsia="Times New Roman" w:hAnsi="Verdana" w:cs="Tahoma"/>
          <w:sz w:val="20"/>
          <w:szCs w:val="20"/>
          <w:lang w:eastAsia="en-GB"/>
        </w:rPr>
        <w:t>Governance - t</w:t>
      </w:r>
      <w:r w:rsidRPr="000608B4">
        <w:rPr>
          <w:rFonts w:ascii="Verdana" w:eastAsia="Times New Roman" w:hAnsi="Verdana" w:cs="FrutigerLTStd-Light"/>
          <w:sz w:val="20"/>
          <w:szCs w:val="20"/>
          <w:lang w:eastAsia="en-GB"/>
        </w:rPr>
        <w:t>he GRC shall:</w:t>
      </w:r>
    </w:p>
    <w:p w14:paraId="6DDD9E6D" w14:textId="77777777" w:rsidR="000608B4" w:rsidRPr="000608B4" w:rsidRDefault="000608B4" w:rsidP="000608B4">
      <w:pPr>
        <w:spacing w:before="120" w:after="120" w:line="240" w:lineRule="auto"/>
        <w:ind w:left="993"/>
        <w:contextualSpacing/>
        <w:rPr>
          <w:rFonts w:ascii="Verdana" w:eastAsia="Times New Roman" w:hAnsi="Verdana" w:cs="FrutigerLTStd-Light"/>
          <w:sz w:val="20"/>
          <w:szCs w:val="20"/>
          <w:lang w:eastAsia="en-GB"/>
        </w:rPr>
      </w:pPr>
    </w:p>
    <w:p w14:paraId="6A13B9D9" w14:textId="77777777" w:rsidR="000608B4" w:rsidRPr="000608B4" w:rsidRDefault="000608B4" w:rsidP="000608B4">
      <w:pPr>
        <w:numPr>
          <w:ilvl w:val="0"/>
          <w:numId w:val="4"/>
        </w:numPr>
        <w:spacing w:before="120" w:after="120" w:line="276" w:lineRule="auto"/>
        <w:ind w:left="1843"/>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 xml:space="preserve">Review the compliance of the CQI’s corporate governance arrangements annually with reference to the </w:t>
      </w:r>
      <w:r w:rsidRPr="000608B4">
        <w:rPr>
          <w:rFonts w:ascii="Verdana" w:eastAsia="Times New Roman" w:hAnsi="Verdana" w:cs="FrutigerLTStd-Light"/>
          <w:i/>
          <w:sz w:val="20"/>
          <w:szCs w:val="20"/>
          <w:lang w:eastAsia="en-GB"/>
        </w:rPr>
        <w:t>Charity Commission</w:t>
      </w:r>
      <w:r w:rsidRPr="000608B4">
        <w:rPr>
          <w:rFonts w:ascii="Verdana" w:eastAsia="Times New Roman" w:hAnsi="Verdana" w:cs="FrutigerLTStd-Light"/>
          <w:sz w:val="20"/>
          <w:szCs w:val="20"/>
          <w:lang w:eastAsia="en-GB"/>
        </w:rPr>
        <w:t>/</w:t>
      </w:r>
      <w:r w:rsidRPr="000608B4">
        <w:rPr>
          <w:rFonts w:ascii="Verdana" w:eastAsia="Times New Roman" w:hAnsi="Verdana" w:cs="FrutigerLTStd-Light"/>
          <w:i/>
          <w:sz w:val="20"/>
          <w:szCs w:val="20"/>
          <w:lang w:eastAsia="en-GB"/>
        </w:rPr>
        <w:t>ACEVO Charity Governance Code</w:t>
      </w:r>
      <w:r w:rsidRPr="000608B4">
        <w:rPr>
          <w:rFonts w:ascii="Verdana" w:eastAsia="Times New Roman" w:hAnsi="Verdana" w:cs="FrutigerLTStd-Light"/>
          <w:sz w:val="20"/>
          <w:szCs w:val="20"/>
          <w:lang w:eastAsia="en-GB"/>
        </w:rPr>
        <w:t xml:space="preserve"> and lessons from the external environment and make recommendations for change to the board as required.</w:t>
      </w:r>
    </w:p>
    <w:p w14:paraId="11CDBC96" w14:textId="77777777" w:rsidR="000608B4" w:rsidRPr="000608B4" w:rsidRDefault="000608B4" w:rsidP="000608B4">
      <w:pPr>
        <w:numPr>
          <w:ilvl w:val="0"/>
          <w:numId w:val="4"/>
        </w:numPr>
        <w:spacing w:before="120" w:after="120" w:line="276" w:lineRule="auto"/>
        <w:ind w:left="1843"/>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Develop and maintain the CQI’s</w:t>
      </w:r>
      <w:r w:rsidRPr="000608B4">
        <w:rPr>
          <w:rFonts w:ascii="Verdana" w:eastAsia="Times New Roman" w:hAnsi="Verdana" w:cs="FrutigerLTStd-Light"/>
          <w:i/>
          <w:sz w:val="20"/>
          <w:szCs w:val="20"/>
          <w:lang w:eastAsia="en-GB"/>
        </w:rPr>
        <w:t xml:space="preserve"> Corporate Governance Framework</w:t>
      </w:r>
      <w:r w:rsidRPr="000608B4">
        <w:rPr>
          <w:rFonts w:ascii="Verdana" w:eastAsia="Times New Roman" w:hAnsi="Verdana" w:cs="FrutigerLTStd-Light"/>
          <w:sz w:val="20"/>
          <w:szCs w:val="20"/>
          <w:lang w:eastAsia="en-GB"/>
        </w:rPr>
        <w:t>, with consideration to 1a.</w:t>
      </w:r>
    </w:p>
    <w:p w14:paraId="1CC8788C" w14:textId="77777777" w:rsidR="000608B4" w:rsidRPr="000608B4" w:rsidRDefault="000608B4" w:rsidP="000608B4">
      <w:pPr>
        <w:numPr>
          <w:ilvl w:val="0"/>
          <w:numId w:val="4"/>
        </w:numPr>
        <w:spacing w:before="120" w:after="120" w:line="276" w:lineRule="auto"/>
        <w:ind w:left="1843"/>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Review the operational governance of the CQI with reference to the CQI management system annually and make recommendations for change to the board as required with consideration of inputs including but not limited to the following:</w:t>
      </w:r>
    </w:p>
    <w:p w14:paraId="51C55339" w14:textId="77777777" w:rsidR="000608B4" w:rsidRPr="000608B4" w:rsidRDefault="000608B4" w:rsidP="000608B4">
      <w:pPr>
        <w:numPr>
          <w:ilvl w:val="2"/>
          <w:numId w:val="5"/>
        </w:numPr>
        <w:tabs>
          <w:tab w:val="num" w:pos="2410"/>
        </w:tabs>
        <w:spacing w:after="200" w:line="276" w:lineRule="auto"/>
        <w:ind w:left="2694"/>
        <w:contextualSpacing/>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Stakeholder feedback</w:t>
      </w:r>
      <w:r w:rsidRPr="000608B4">
        <w:rPr>
          <w:rFonts w:ascii="Verdana" w:eastAsia="Times New Roman" w:hAnsi="Verdana" w:cs="FrutigerLTStd-Light"/>
          <w:color w:val="FF0000"/>
          <w:sz w:val="20"/>
          <w:szCs w:val="20"/>
          <w:lang w:eastAsia="en-GB"/>
        </w:rPr>
        <w:t xml:space="preserve"> </w:t>
      </w:r>
    </w:p>
    <w:p w14:paraId="1A168CAC" w14:textId="77777777" w:rsidR="000608B4" w:rsidRPr="000608B4" w:rsidRDefault="000608B4" w:rsidP="000608B4">
      <w:pPr>
        <w:numPr>
          <w:ilvl w:val="2"/>
          <w:numId w:val="5"/>
        </w:numPr>
        <w:tabs>
          <w:tab w:val="num" w:pos="2410"/>
        </w:tabs>
        <w:spacing w:after="200" w:line="276" w:lineRule="auto"/>
        <w:ind w:left="2694"/>
        <w:contextualSpacing/>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Complaints/appeals</w:t>
      </w:r>
    </w:p>
    <w:p w14:paraId="6E1F6997" w14:textId="77777777" w:rsidR="000608B4" w:rsidRPr="000608B4" w:rsidRDefault="000608B4" w:rsidP="000608B4">
      <w:pPr>
        <w:numPr>
          <w:ilvl w:val="2"/>
          <w:numId w:val="5"/>
        </w:numPr>
        <w:tabs>
          <w:tab w:val="num" w:pos="2410"/>
        </w:tabs>
        <w:spacing w:after="200" w:line="276" w:lineRule="auto"/>
        <w:ind w:left="2694"/>
        <w:contextualSpacing/>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Internal audit</w:t>
      </w:r>
    </w:p>
    <w:p w14:paraId="4622AE28" w14:textId="77777777" w:rsidR="000608B4" w:rsidRPr="000608B4" w:rsidRDefault="000608B4" w:rsidP="000608B4">
      <w:pPr>
        <w:numPr>
          <w:ilvl w:val="2"/>
          <w:numId w:val="5"/>
        </w:numPr>
        <w:tabs>
          <w:tab w:val="num" w:pos="2410"/>
        </w:tabs>
        <w:spacing w:after="200" w:line="276" w:lineRule="auto"/>
        <w:ind w:left="2694"/>
        <w:rPr>
          <w:rFonts w:ascii="Verdana" w:eastAsia="Times New Roman" w:hAnsi="Verdana" w:cs="FrutigerLTStd-Light"/>
          <w:sz w:val="20"/>
          <w:szCs w:val="20"/>
          <w:lang w:eastAsia="en-GB"/>
        </w:rPr>
      </w:pPr>
      <w:r w:rsidRPr="000608B4">
        <w:rPr>
          <w:rFonts w:ascii="Verdana" w:eastAsia="Times New Roman" w:hAnsi="Verdana" w:cs="FrutigerLTStd-Light"/>
          <w:sz w:val="20"/>
          <w:szCs w:val="20"/>
          <w:lang w:eastAsia="en-GB"/>
        </w:rPr>
        <w:t>External audit</w:t>
      </w:r>
    </w:p>
    <w:p w14:paraId="3B800860" w14:textId="77777777" w:rsidR="000608B4" w:rsidRPr="000608B4" w:rsidRDefault="000608B4" w:rsidP="000608B4">
      <w:pPr>
        <w:numPr>
          <w:ilvl w:val="1"/>
          <w:numId w:val="1"/>
        </w:numPr>
        <w:tabs>
          <w:tab w:val="num" w:pos="1134"/>
        </w:tabs>
        <w:spacing w:before="120" w:after="120" w:line="240" w:lineRule="auto"/>
        <w:ind w:left="992" w:hanging="567"/>
        <w:rPr>
          <w:rFonts w:ascii="Verdana" w:eastAsia="Times New Roman" w:hAnsi="Verdana" w:cs="FrutigerLTStd-Light"/>
          <w:sz w:val="20"/>
          <w:szCs w:val="20"/>
          <w:lang w:eastAsia="en-GB"/>
        </w:rPr>
      </w:pPr>
      <w:r w:rsidRPr="000608B4">
        <w:rPr>
          <w:rFonts w:ascii="Verdana" w:eastAsia="Times New Roman" w:hAnsi="Verdana" w:cs="Tahoma"/>
          <w:sz w:val="20"/>
          <w:szCs w:val="20"/>
          <w:lang w:eastAsia="en-GB"/>
        </w:rPr>
        <w:t>Risk &amp; Improvement - t</w:t>
      </w:r>
      <w:r w:rsidRPr="000608B4">
        <w:rPr>
          <w:rFonts w:ascii="Verdana" w:eastAsia="Times New Roman" w:hAnsi="Verdana" w:cs="FrutigerLTStd-Light"/>
          <w:sz w:val="20"/>
          <w:szCs w:val="20"/>
          <w:lang w:eastAsia="en-GB"/>
        </w:rPr>
        <w:t>he GRC shall:</w:t>
      </w:r>
    </w:p>
    <w:p w14:paraId="39CE2E88" w14:textId="77777777" w:rsidR="000608B4" w:rsidRPr="000608B4" w:rsidRDefault="000608B4" w:rsidP="000608B4">
      <w:pPr>
        <w:numPr>
          <w:ilvl w:val="0"/>
          <w:numId w:val="6"/>
        </w:numPr>
        <w:spacing w:before="120" w:after="120" w:line="276" w:lineRule="auto"/>
        <w:ind w:left="1843"/>
        <w:rPr>
          <w:rFonts w:ascii="Verdana" w:eastAsia="Times New Roman" w:hAnsi="Verdana" w:cs="Times New Roman"/>
          <w:sz w:val="20"/>
          <w:szCs w:val="20"/>
          <w:lang w:eastAsia="en-GB"/>
        </w:rPr>
      </w:pPr>
      <w:r w:rsidRPr="000608B4">
        <w:rPr>
          <w:rFonts w:ascii="Verdana" w:eastAsia="Times New Roman" w:hAnsi="Verdana" w:cs="FrutigerLTStd-Light"/>
          <w:sz w:val="20"/>
          <w:szCs w:val="20"/>
          <w:lang w:eastAsia="en-GB"/>
        </w:rPr>
        <w:t xml:space="preserve">Review the CQI’s capability to identify and manage risk through the review of the </w:t>
      </w:r>
      <w:r w:rsidRPr="000608B4">
        <w:rPr>
          <w:rFonts w:ascii="Verdana" w:eastAsia="Times New Roman" w:hAnsi="Verdana" w:cs="FrutigerLTStd-Light"/>
          <w:i/>
          <w:sz w:val="20"/>
          <w:szCs w:val="20"/>
          <w:lang w:eastAsia="en-GB"/>
        </w:rPr>
        <w:t>CQI Framework for the management of risk</w:t>
      </w:r>
      <w:r w:rsidRPr="000608B4">
        <w:rPr>
          <w:rFonts w:ascii="Verdana" w:eastAsia="Times New Roman" w:hAnsi="Verdana" w:cs="FrutigerLTStd-Light"/>
          <w:sz w:val="20"/>
          <w:szCs w:val="20"/>
          <w:lang w:eastAsia="en-GB"/>
        </w:rPr>
        <w:t xml:space="preserve">. </w:t>
      </w:r>
    </w:p>
    <w:p w14:paraId="35DBE136" w14:textId="77777777" w:rsidR="000608B4" w:rsidRPr="000608B4" w:rsidRDefault="000608B4" w:rsidP="000608B4">
      <w:pPr>
        <w:numPr>
          <w:ilvl w:val="0"/>
          <w:numId w:val="6"/>
        </w:numPr>
        <w:spacing w:before="120" w:after="120" w:line="276" w:lineRule="auto"/>
        <w:ind w:left="1843"/>
        <w:rPr>
          <w:rFonts w:ascii="Verdana" w:eastAsia="Times New Roman" w:hAnsi="Verdana" w:cs="Times New Roman"/>
          <w:sz w:val="20"/>
          <w:szCs w:val="20"/>
          <w:lang w:eastAsia="en-GB"/>
        </w:rPr>
      </w:pPr>
      <w:r w:rsidRPr="000608B4">
        <w:rPr>
          <w:rFonts w:ascii="Verdana" w:eastAsia="Times New Roman" w:hAnsi="Verdana" w:cs="Times New Roman"/>
          <w:sz w:val="20"/>
          <w:szCs w:val="20"/>
          <w:lang w:eastAsia="en-GB"/>
        </w:rPr>
        <w:t xml:space="preserve">Review the CQI’s risk register and its progress with agreed responses through its </w:t>
      </w:r>
      <w:r w:rsidRPr="000608B4">
        <w:rPr>
          <w:rFonts w:ascii="Verdana" w:eastAsia="Times New Roman" w:hAnsi="Verdana" w:cs="FrutigerLTStd-Light"/>
          <w:i/>
          <w:sz w:val="20"/>
          <w:szCs w:val="20"/>
          <w:lang w:eastAsia="en-GB"/>
        </w:rPr>
        <w:t>change</w:t>
      </w:r>
      <w:r w:rsidRPr="000608B4">
        <w:rPr>
          <w:rFonts w:ascii="Verdana" w:eastAsia="Times New Roman" w:hAnsi="Verdana" w:cs="Times New Roman"/>
          <w:sz w:val="20"/>
          <w:szCs w:val="20"/>
          <w:lang w:eastAsia="en-GB"/>
        </w:rPr>
        <w:t xml:space="preserve"> </w:t>
      </w:r>
      <w:proofErr w:type="gramStart"/>
      <w:r w:rsidRPr="000608B4">
        <w:rPr>
          <w:rFonts w:ascii="Verdana" w:eastAsia="Times New Roman" w:hAnsi="Verdana" w:cs="Times New Roman"/>
          <w:sz w:val="20"/>
          <w:szCs w:val="20"/>
          <w:lang w:eastAsia="en-GB"/>
        </w:rPr>
        <w:t>portfolio, and</w:t>
      </w:r>
      <w:proofErr w:type="gramEnd"/>
      <w:r w:rsidRPr="000608B4">
        <w:rPr>
          <w:rFonts w:ascii="Verdana" w:eastAsia="Times New Roman" w:hAnsi="Verdana" w:cs="Times New Roman"/>
          <w:sz w:val="20"/>
          <w:szCs w:val="20"/>
          <w:lang w:eastAsia="en-GB"/>
        </w:rPr>
        <w:t xml:space="preserve"> advise the board on adequacy of progress. </w:t>
      </w:r>
    </w:p>
    <w:p w14:paraId="4F5BAB3C" w14:textId="77777777" w:rsidR="000608B4" w:rsidRPr="000608B4" w:rsidRDefault="000608B4" w:rsidP="000608B4">
      <w:pPr>
        <w:spacing w:before="120" w:after="120"/>
        <w:ind w:left="1843"/>
        <w:rPr>
          <w:rFonts w:ascii="Verdana" w:eastAsia="Times New Roman" w:hAnsi="Verdana" w:cs="Times New Roman"/>
          <w:sz w:val="20"/>
          <w:szCs w:val="20"/>
          <w:lang w:eastAsia="en-GB"/>
        </w:rPr>
      </w:pPr>
    </w:p>
    <w:p w14:paraId="317AA25A"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Constitution</w:t>
      </w:r>
    </w:p>
    <w:p w14:paraId="48B32658" w14:textId="77777777" w:rsidR="000608B4" w:rsidRPr="000608B4" w:rsidRDefault="000608B4" w:rsidP="000608B4">
      <w:pPr>
        <w:numPr>
          <w:ilvl w:val="1"/>
          <w:numId w:val="1"/>
        </w:numPr>
        <w:tabs>
          <w:tab w:val="num" w:pos="993"/>
        </w:tabs>
        <w:spacing w:before="120" w:after="0" w:line="240" w:lineRule="auto"/>
        <w:ind w:left="993" w:hanging="567"/>
        <w:rPr>
          <w:rFonts w:ascii="Verdana" w:eastAsia="Times New Roman" w:hAnsi="Verdana" w:cs="Tahoma"/>
          <w:sz w:val="20"/>
          <w:szCs w:val="20"/>
          <w:lang w:eastAsia="zh-CN"/>
        </w:rPr>
      </w:pPr>
      <w:r w:rsidRPr="000608B4">
        <w:rPr>
          <w:rFonts w:ascii="Verdana" w:eastAsia="Times New Roman" w:hAnsi="Verdana" w:cs="Tahoma"/>
          <w:sz w:val="20"/>
          <w:szCs w:val="20"/>
          <w:lang w:eastAsia="zh-CN"/>
        </w:rPr>
        <w:t>The membership of the Committee shall be three Trustees.</w:t>
      </w:r>
    </w:p>
    <w:p w14:paraId="1BD2DB08" w14:textId="77777777" w:rsidR="000608B4" w:rsidRPr="000608B4" w:rsidRDefault="000608B4" w:rsidP="000608B4">
      <w:pPr>
        <w:numPr>
          <w:ilvl w:val="1"/>
          <w:numId w:val="1"/>
        </w:numPr>
        <w:tabs>
          <w:tab w:val="num" w:pos="993"/>
        </w:tabs>
        <w:spacing w:before="120" w:after="0" w:line="240" w:lineRule="auto"/>
        <w:ind w:left="993" w:hanging="567"/>
        <w:rPr>
          <w:rFonts w:ascii="Verdana" w:eastAsia="Times New Roman" w:hAnsi="Verdana" w:cs="Tahoma"/>
          <w:sz w:val="20"/>
          <w:szCs w:val="20"/>
          <w:lang w:eastAsia="zh-CN"/>
        </w:rPr>
      </w:pPr>
      <w:r w:rsidRPr="000608B4">
        <w:rPr>
          <w:rFonts w:ascii="Verdana" w:eastAsia="Times New Roman" w:hAnsi="Verdana" w:cs="Tahoma"/>
          <w:sz w:val="20"/>
          <w:szCs w:val="20"/>
          <w:lang w:eastAsia="zh-CN"/>
        </w:rPr>
        <w:t>The Chair shall be approved by the Board of Trustees.</w:t>
      </w:r>
    </w:p>
    <w:p w14:paraId="03298C50" w14:textId="77777777" w:rsidR="000608B4" w:rsidRPr="000608B4" w:rsidRDefault="000608B4" w:rsidP="000608B4">
      <w:pPr>
        <w:numPr>
          <w:ilvl w:val="1"/>
          <w:numId w:val="1"/>
        </w:numPr>
        <w:tabs>
          <w:tab w:val="num" w:pos="993"/>
        </w:tabs>
        <w:spacing w:before="120" w:after="0" w:line="240" w:lineRule="auto"/>
        <w:ind w:left="993" w:hanging="567"/>
        <w:rPr>
          <w:rFonts w:ascii="Verdana" w:eastAsia="Times New Roman" w:hAnsi="Verdana" w:cs="Tahoma"/>
          <w:sz w:val="20"/>
          <w:szCs w:val="20"/>
          <w:lang w:eastAsia="zh-CN"/>
        </w:rPr>
      </w:pPr>
      <w:r w:rsidRPr="000608B4">
        <w:rPr>
          <w:rFonts w:ascii="Verdana" w:eastAsia="Times New Roman" w:hAnsi="Verdana" w:cs="Tahoma"/>
          <w:sz w:val="20"/>
          <w:szCs w:val="20"/>
          <w:lang w:eastAsia="zh-CN"/>
        </w:rPr>
        <w:t>The Committee will be supported and attended by the Executive as required.</w:t>
      </w:r>
    </w:p>
    <w:p w14:paraId="6BF89AB3" w14:textId="77777777" w:rsidR="000608B4" w:rsidRPr="000608B4" w:rsidRDefault="000608B4" w:rsidP="000608B4">
      <w:pPr>
        <w:numPr>
          <w:ilvl w:val="1"/>
          <w:numId w:val="1"/>
        </w:numPr>
        <w:tabs>
          <w:tab w:val="num" w:pos="993"/>
        </w:tabs>
        <w:spacing w:before="120" w:after="0" w:line="240" w:lineRule="auto"/>
        <w:ind w:left="993" w:hanging="567"/>
        <w:rPr>
          <w:rFonts w:ascii="Verdana" w:eastAsia="Times New Roman" w:hAnsi="Verdana" w:cs="Tahoma"/>
          <w:sz w:val="20"/>
          <w:szCs w:val="20"/>
          <w:lang w:eastAsia="zh-CN"/>
        </w:rPr>
      </w:pPr>
      <w:r w:rsidRPr="000608B4">
        <w:rPr>
          <w:rFonts w:ascii="Verdana" w:eastAsia="Times New Roman" w:hAnsi="Verdana" w:cs="Tahoma"/>
          <w:sz w:val="20"/>
          <w:szCs w:val="20"/>
          <w:lang w:eastAsia="zh-CN"/>
        </w:rPr>
        <w:t>The Committee may invite other people to attend meetings.</w:t>
      </w:r>
    </w:p>
    <w:p w14:paraId="3B53A35D"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Meetings</w:t>
      </w:r>
    </w:p>
    <w:p w14:paraId="12AF0B91"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The committee will meet regularly as judged appropriate by the chair. The chair may call an additional Committee meeting at any time.</w:t>
      </w:r>
    </w:p>
    <w:p w14:paraId="605B78EA"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The business of each meeting shall be determined by the Chair.</w:t>
      </w:r>
    </w:p>
    <w:p w14:paraId="303A8E89"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The quorum will be two members.</w:t>
      </w:r>
    </w:p>
    <w:p w14:paraId="517AFC54"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Meetings may take place electronically, physically or by conference call. Voting shall be decided by a simple majority of members participating. The Chair of the meeting has the casting vote.</w:t>
      </w:r>
    </w:p>
    <w:p w14:paraId="762F0531"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Responsibilities of Members</w:t>
      </w:r>
    </w:p>
    <w:p w14:paraId="04E73179"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 xml:space="preserve">Members have a duty at all times to demonstrate attributes of integrity, honesty and openness and shall declare wherever appropriate any </w:t>
      </w:r>
      <w:proofErr w:type="gramStart"/>
      <w:r w:rsidRPr="000608B4">
        <w:rPr>
          <w:rFonts w:ascii="Verdana" w:eastAsia="Times New Roman" w:hAnsi="Verdana" w:cs="Tahoma"/>
          <w:bCs/>
          <w:sz w:val="20"/>
          <w:szCs w:val="20"/>
          <w:lang w:eastAsia="en-GB"/>
        </w:rPr>
        <w:t>interests</w:t>
      </w:r>
      <w:proofErr w:type="gramEnd"/>
      <w:r w:rsidRPr="000608B4">
        <w:rPr>
          <w:rFonts w:ascii="Verdana" w:eastAsia="Times New Roman" w:hAnsi="Verdana" w:cs="Tahoma"/>
          <w:bCs/>
          <w:sz w:val="20"/>
          <w:szCs w:val="20"/>
          <w:lang w:eastAsia="en-GB"/>
        </w:rPr>
        <w:t xml:space="preserve"> material to discussion or decisions.</w:t>
      </w:r>
    </w:p>
    <w:p w14:paraId="3461AE6C"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 xml:space="preserve">All information forming part of the proceedings of the Committee shall be considered as confidential unless the Chair expressly indicates </w:t>
      </w:r>
      <w:proofErr w:type="gramStart"/>
      <w:r w:rsidRPr="000608B4">
        <w:rPr>
          <w:rFonts w:ascii="Verdana" w:eastAsia="Times New Roman" w:hAnsi="Verdana" w:cs="Tahoma"/>
          <w:bCs/>
          <w:sz w:val="20"/>
          <w:szCs w:val="20"/>
          <w:lang w:eastAsia="en-GB"/>
        </w:rPr>
        <w:t>otherwise</w:t>
      </w:r>
      <w:proofErr w:type="gramEnd"/>
      <w:r w:rsidRPr="000608B4">
        <w:rPr>
          <w:rFonts w:ascii="Verdana" w:eastAsia="Times New Roman" w:hAnsi="Verdana" w:cs="Tahoma"/>
          <w:bCs/>
          <w:sz w:val="20"/>
          <w:szCs w:val="20"/>
          <w:lang w:eastAsia="en-GB"/>
        </w:rPr>
        <w:t xml:space="preserve"> and all Members and volunteers are required to abide by the CQI Code of Conduct.</w:t>
      </w:r>
    </w:p>
    <w:p w14:paraId="226D394E"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The CQI will reimburse non-Executive members for reasonable expenses incurred wholly and necessarily in carrying out the work of the Committee (Ref. Expenses Policy).</w:t>
      </w:r>
    </w:p>
    <w:p w14:paraId="533C3788" w14:textId="77777777" w:rsidR="000608B4" w:rsidRPr="000608B4" w:rsidRDefault="000608B4" w:rsidP="000608B4">
      <w:pPr>
        <w:keepNext/>
        <w:numPr>
          <w:ilvl w:val="0"/>
          <w:numId w:val="1"/>
        </w:numPr>
        <w:spacing w:before="240" w:after="60" w:line="240" w:lineRule="auto"/>
        <w:outlineLvl w:val="0"/>
        <w:rPr>
          <w:rFonts w:ascii="Verdana" w:eastAsia="Times New Roman" w:hAnsi="Verdana" w:cs="Tahoma"/>
          <w:bCs/>
          <w:sz w:val="20"/>
          <w:szCs w:val="20"/>
          <w:lang w:eastAsia="en-GB"/>
        </w:rPr>
      </w:pPr>
      <w:r w:rsidRPr="000608B4">
        <w:rPr>
          <w:rFonts w:ascii="Verdana" w:eastAsia="Times New Roman" w:hAnsi="Verdana" w:cs="Tahoma"/>
          <w:b/>
          <w:bCs/>
          <w:sz w:val="20"/>
          <w:szCs w:val="20"/>
          <w:lang w:eastAsia="en-GB"/>
        </w:rPr>
        <w:t>Changes to these Terms of Reference</w:t>
      </w:r>
    </w:p>
    <w:p w14:paraId="482B4036" w14:textId="77777777" w:rsidR="000608B4" w:rsidRPr="000608B4" w:rsidRDefault="000608B4" w:rsidP="000608B4">
      <w:pPr>
        <w:keepNext/>
        <w:numPr>
          <w:ilvl w:val="1"/>
          <w:numId w:val="1"/>
        </w:numPr>
        <w:tabs>
          <w:tab w:val="num" w:pos="993"/>
        </w:tabs>
        <w:spacing w:before="120" w:after="0" w:line="240" w:lineRule="auto"/>
        <w:ind w:left="993" w:hanging="567"/>
        <w:outlineLvl w:val="0"/>
        <w:rPr>
          <w:rFonts w:ascii="Verdana" w:eastAsia="Times New Roman" w:hAnsi="Verdana" w:cs="Tahoma"/>
          <w:bCs/>
          <w:sz w:val="20"/>
          <w:szCs w:val="20"/>
          <w:lang w:eastAsia="en-GB"/>
        </w:rPr>
      </w:pPr>
      <w:r w:rsidRPr="000608B4">
        <w:rPr>
          <w:rFonts w:ascii="Verdana" w:eastAsia="Times New Roman" w:hAnsi="Verdana" w:cs="Tahoma"/>
          <w:bCs/>
          <w:sz w:val="20"/>
          <w:szCs w:val="20"/>
          <w:lang w:eastAsia="en-GB"/>
        </w:rPr>
        <w:t>The Committee will review its terms of reference annually and agree changes to these Terms of Reference in consultation with the Board of Trustees.</w:t>
      </w:r>
    </w:p>
    <w:p w14:paraId="17249EB9" w14:textId="77777777" w:rsidR="000608B4" w:rsidRDefault="000608B4" w:rsidP="000608B4">
      <w:pPr>
        <w:spacing w:before="240" w:after="60" w:line="240" w:lineRule="auto"/>
        <w:outlineLvl w:val="0"/>
        <w:rPr>
          <w:rFonts w:ascii="Verdana" w:eastAsia="Times New Roman" w:hAnsi="Verdana" w:cs="Tahoma"/>
          <w:bCs/>
          <w:i/>
          <w:kern w:val="28"/>
          <w:sz w:val="20"/>
          <w:szCs w:val="20"/>
        </w:rPr>
      </w:pPr>
    </w:p>
    <w:tbl>
      <w:tblPr>
        <w:tblStyle w:val="TableGrid"/>
        <w:tblW w:w="0" w:type="auto"/>
        <w:tblLook w:val="04A0" w:firstRow="1" w:lastRow="0" w:firstColumn="1" w:lastColumn="0" w:noHBand="0" w:noVBand="1"/>
      </w:tblPr>
      <w:tblGrid>
        <w:gridCol w:w="3681"/>
        <w:gridCol w:w="5335"/>
      </w:tblGrid>
      <w:tr w:rsidR="000608B4" w:rsidRPr="002B51F3" w14:paraId="2A033AFB" w14:textId="77777777" w:rsidTr="001D021A">
        <w:tc>
          <w:tcPr>
            <w:tcW w:w="3681" w:type="dxa"/>
          </w:tcPr>
          <w:p w14:paraId="74B3062E" w14:textId="77777777" w:rsidR="000608B4" w:rsidRPr="002B51F3" w:rsidRDefault="000608B4" w:rsidP="001D021A">
            <w:pPr>
              <w:spacing w:before="120" w:after="120"/>
              <w:rPr>
                <w:rFonts w:ascii="Verdana" w:hAnsi="Verdana"/>
                <w:b/>
                <w:sz w:val="20"/>
                <w:szCs w:val="20"/>
              </w:rPr>
            </w:pPr>
            <w:r w:rsidRPr="002B51F3">
              <w:rPr>
                <w:rFonts w:ascii="Verdana" w:hAnsi="Verdana"/>
                <w:b/>
                <w:sz w:val="20"/>
                <w:szCs w:val="20"/>
              </w:rPr>
              <w:t>Approver</w:t>
            </w:r>
          </w:p>
        </w:tc>
        <w:tc>
          <w:tcPr>
            <w:tcW w:w="5335" w:type="dxa"/>
          </w:tcPr>
          <w:p w14:paraId="13010AAD" w14:textId="22027682" w:rsidR="000608B4" w:rsidRPr="002B51F3" w:rsidRDefault="000608B4" w:rsidP="001D021A">
            <w:pPr>
              <w:spacing w:before="120" w:after="120"/>
              <w:jc w:val="both"/>
              <w:rPr>
                <w:rFonts w:ascii="Verdana" w:hAnsi="Verdana"/>
                <w:sz w:val="20"/>
                <w:szCs w:val="20"/>
              </w:rPr>
            </w:pPr>
            <w:r w:rsidRPr="002B51F3">
              <w:rPr>
                <w:rFonts w:ascii="Verdana" w:hAnsi="Verdana"/>
                <w:sz w:val="20"/>
                <w:szCs w:val="20"/>
              </w:rPr>
              <w:t xml:space="preserve">Board </w:t>
            </w:r>
            <w:r>
              <w:rPr>
                <w:rFonts w:ascii="Verdana" w:hAnsi="Verdana"/>
                <w:sz w:val="20"/>
                <w:szCs w:val="20"/>
              </w:rPr>
              <w:t>of Trustees</w:t>
            </w:r>
          </w:p>
        </w:tc>
      </w:tr>
      <w:tr w:rsidR="000608B4" w:rsidRPr="002B51F3" w14:paraId="0E21EF4B" w14:textId="77777777" w:rsidTr="001D021A">
        <w:tc>
          <w:tcPr>
            <w:tcW w:w="3681" w:type="dxa"/>
          </w:tcPr>
          <w:p w14:paraId="4301C49F" w14:textId="6A716692" w:rsidR="000608B4" w:rsidRPr="002B51F3" w:rsidRDefault="000608B4" w:rsidP="001D021A">
            <w:pPr>
              <w:spacing w:before="120" w:after="120"/>
              <w:rPr>
                <w:rFonts w:ascii="Verdana" w:hAnsi="Verdana"/>
                <w:b/>
                <w:sz w:val="20"/>
                <w:szCs w:val="20"/>
              </w:rPr>
            </w:pPr>
            <w:r>
              <w:rPr>
                <w:rFonts w:ascii="Verdana" w:hAnsi="Verdana"/>
                <w:b/>
                <w:sz w:val="20"/>
                <w:szCs w:val="20"/>
              </w:rPr>
              <w:t>Version and Date</w:t>
            </w:r>
          </w:p>
        </w:tc>
        <w:tc>
          <w:tcPr>
            <w:tcW w:w="5335" w:type="dxa"/>
          </w:tcPr>
          <w:p w14:paraId="35E0DA42" w14:textId="1A0F9DCC" w:rsidR="000608B4" w:rsidRPr="002B51F3" w:rsidRDefault="000608B4" w:rsidP="001D021A">
            <w:pPr>
              <w:spacing w:before="120" w:after="120"/>
              <w:jc w:val="both"/>
              <w:rPr>
                <w:rFonts w:ascii="Verdana" w:hAnsi="Verdana"/>
                <w:sz w:val="20"/>
                <w:szCs w:val="20"/>
              </w:rPr>
            </w:pPr>
            <w:r>
              <w:rPr>
                <w:rFonts w:ascii="Verdana" w:hAnsi="Verdana"/>
                <w:sz w:val="20"/>
                <w:szCs w:val="20"/>
              </w:rPr>
              <w:t xml:space="preserve">Version </w:t>
            </w:r>
            <w:r w:rsidR="00B664DB">
              <w:rPr>
                <w:rFonts w:ascii="Verdana" w:hAnsi="Verdana"/>
                <w:sz w:val="20"/>
                <w:szCs w:val="20"/>
              </w:rPr>
              <w:t>0</w:t>
            </w:r>
            <w:r>
              <w:rPr>
                <w:rFonts w:ascii="Verdana" w:hAnsi="Verdana"/>
                <w:sz w:val="20"/>
                <w:szCs w:val="20"/>
              </w:rPr>
              <w:t xml:space="preserve"> - 12 September 2018</w:t>
            </w:r>
          </w:p>
        </w:tc>
      </w:tr>
      <w:tr w:rsidR="000608B4" w:rsidRPr="002B51F3" w14:paraId="00509CA4" w14:textId="77777777" w:rsidTr="001D021A">
        <w:tc>
          <w:tcPr>
            <w:tcW w:w="3681" w:type="dxa"/>
          </w:tcPr>
          <w:p w14:paraId="114DF164" w14:textId="368137FC" w:rsidR="000608B4" w:rsidRDefault="000608B4" w:rsidP="001D021A">
            <w:pPr>
              <w:spacing w:before="120" w:after="120"/>
              <w:rPr>
                <w:rFonts w:ascii="Verdana" w:hAnsi="Verdana"/>
                <w:b/>
                <w:sz w:val="20"/>
                <w:szCs w:val="20"/>
              </w:rPr>
            </w:pPr>
            <w:r>
              <w:rPr>
                <w:rFonts w:ascii="Verdana" w:hAnsi="Verdana"/>
                <w:b/>
                <w:sz w:val="20"/>
                <w:szCs w:val="20"/>
              </w:rPr>
              <w:t>Next Review</w:t>
            </w:r>
          </w:p>
        </w:tc>
        <w:tc>
          <w:tcPr>
            <w:tcW w:w="5335" w:type="dxa"/>
          </w:tcPr>
          <w:p w14:paraId="76323CBA" w14:textId="5B90B163" w:rsidR="000608B4" w:rsidRDefault="000608B4" w:rsidP="001D021A">
            <w:pPr>
              <w:spacing w:before="120" w:after="120"/>
              <w:jc w:val="both"/>
              <w:rPr>
                <w:rFonts w:ascii="Verdana" w:hAnsi="Verdana"/>
                <w:sz w:val="20"/>
                <w:szCs w:val="20"/>
              </w:rPr>
            </w:pPr>
            <w:r>
              <w:rPr>
                <w:rFonts w:ascii="Verdana" w:hAnsi="Verdana"/>
                <w:sz w:val="20"/>
                <w:szCs w:val="20"/>
              </w:rPr>
              <w:t>November 2019</w:t>
            </w:r>
          </w:p>
        </w:tc>
      </w:tr>
      <w:tr w:rsidR="000608B4" w:rsidRPr="002B51F3" w14:paraId="7F40AB59" w14:textId="77777777" w:rsidTr="001D021A">
        <w:tc>
          <w:tcPr>
            <w:tcW w:w="3681" w:type="dxa"/>
          </w:tcPr>
          <w:p w14:paraId="58FA887F" w14:textId="6DF00265" w:rsidR="000608B4" w:rsidRPr="002B51F3" w:rsidRDefault="000608B4" w:rsidP="001D021A">
            <w:pPr>
              <w:spacing w:before="120" w:after="120"/>
              <w:rPr>
                <w:rFonts w:ascii="Verdana" w:hAnsi="Verdana"/>
                <w:b/>
                <w:sz w:val="20"/>
                <w:szCs w:val="20"/>
              </w:rPr>
            </w:pPr>
            <w:r w:rsidRPr="002B51F3">
              <w:rPr>
                <w:rFonts w:ascii="Verdana" w:hAnsi="Verdana"/>
                <w:b/>
                <w:sz w:val="20"/>
                <w:szCs w:val="20"/>
              </w:rPr>
              <w:t>Associated documents</w:t>
            </w:r>
          </w:p>
        </w:tc>
        <w:tc>
          <w:tcPr>
            <w:tcW w:w="5335" w:type="dxa"/>
          </w:tcPr>
          <w:p w14:paraId="1DB62489" w14:textId="77777777" w:rsidR="000608B4" w:rsidRDefault="000608B4" w:rsidP="001D021A">
            <w:pPr>
              <w:spacing w:before="120" w:after="120"/>
              <w:jc w:val="both"/>
              <w:rPr>
                <w:rFonts w:ascii="Verdana" w:hAnsi="Verdana"/>
                <w:sz w:val="20"/>
                <w:szCs w:val="20"/>
              </w:rPr>
            </w:pPr>
            <w:r>
              <w:rPr>
                <w:rFonts w:ascii="Verdana" w:hAnsi="Verdana"/>
                <w:sz w:val="20"/>
                <w:szCs w:val="20"/>
              </w:rPr>
              <w:t xml:space="preserve">Framework for the Management of Corporate Governance </w:t>
            </w:r>
          </w:p>
          <w:p w14:paraId="221FF471" w14:textId="77777777" w:rsidR="000608B4" w:rsidRDefault="000608B4" w:rsidP="001D021A">
            <w:pPr>
              <w:spacing w:before="120" w:after="120"/>
              <w:jc w:val="both"/>
              <w:rPr>
                <w:rFonts w:ascii="Verdana" w:hAnsi="Verdana"/>
                <w:sz w:val="20"/>
                <w:szCs w:val="20"/>
              </w:rPr>
            </w:pPr>
            <w:r>
              <w:rPr>
                <w:rFonts w:ascii="Verdana" w:hAnsi="Verdana"/>
                <w:sz w:val="20"/>
                <w:szCs w:val="20"/>
              </w:rPr>
              <w:t xml:space="preserve">Framework for the Management of Risk </w:t>
            </w:r>
          </w:p>
          <w:p w14:paraId="1E535DC2" w14:textId="14A801BC" w:rsidR="000608B4" w:rsidRPr="00312485" w:rsidRDefault="00312485" w:rsidP="001D021A">
            <w:pPr>
              <w:spacing w:before="120" w:after="120"/>
              <w:jc w:val="both"/>
              <w:rPr>
                <w:rFonts w:ascii="Verdana" w:hAnsi="Verdana"/>
                <w:sz w:val="20"/>
                <w:szCs w:val="20"/>
              </w:rPr>
            </w:pPr>
            <w:r w:rsidRPr="00312485">
              <w:rPr>
                <w:rFonts w:ascii="Verdana" w:hAnsi="Verdana" w:cs="Tahoma"/>
                <w:iCs/>
                <w:sz w:val="20"/>
                <w:szCs w:val="20"/>
              </w:rPr>
              <w:t>Framework for the Management of Improvement</w:t>
            </w:r>
          </w:p>
        </w:tc>
      </w:tr>
    </w:tbl>
    <w:p w14:paraId="2A032574" w14:textId="59FFF407" w:rsidR="003B4373" w:rsidRDefault="000608B4" w:rsidP="000608B4">
      <w:pPr>
        <w:spacing w:before="240" w:after="60" w:line="240" w:lineRule="auto"/>
        <w:outlineLvl w:val="0"/>
      </w:pPr>
      <w:r w:rsidRPr="000608B4">
        <w:rPr>
          <w:rFonts w:ascii="Verdana" w:eastAsia="Times New Roman" w:hAnsi="Verdana" w:cs="Tahoma"/>
          <w:bCs/>
          <w:i/>
          <w:kern w:val="28"/>
          <w:sz w:val="20"/>
          <w:szCs w:val="20"/>
        </w:rPr>
        <w:t>End</w:t>
      </w:r>
      <w:bookmarkStart w:id="0" w:name="_GoBack"/>
      <w:bookmarkEnd w:id="0"/>
    </w:p>
    <w:sectPr w:rsidR="003B43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385D" w14:textId="77777777" w:rsidR="000608B4" w:rsidRDefault="000608B4" w:rsidP="000608B4">
      <w:pPr>
        <w:spacing w:after="0" w:line="240" w:lineRule="auto"/>
      </w:pPr>
      <w:r>
        <w:separator/>
      </w:r>
    </w:p>
  </w:endnote>
  <w:endnote w:type="continuationSeparator" w:id="0">
    <w:p w14:paraId="331AB8DF" w14:textId="77777777" w:rsidR="000608B4" w:rsidRDefault="000608B4" w:rsidP="0006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3612683"/>
      <w:docPartObj>
        <w:docPartGallery w:val="Page Numbers (Bottom of Page)"/>
        <w:docPartUnique/>
      </w:docPartObj>
    </w:sdtPr>
    <w:sdtEndPr>
      <w:rPr>
        <w:noProof/>
      </w:rPr>
    </w:sdtEndPr>
    <w:sdtContent>
      <w:p w14:paraId="45D41B8D" w14:textId="1163E206" w:rsidR="000608B4" w:rsidRDefault="000608B4">
        <w:pPr>
          <w:pStyle w:val="Footer"/>
        </w:pPr>
        <w:r>
          <w:fldChar w:fldCharType="begin"/>
        </w:r>
        <w:r>
          <w:instrText xml:space="preserve"> PAGE   \* MERGEFORMAT </w:instrText>
        </w:r>
        <w:r>
          <w:fldChar w:fldCharType="separate"/>
        </w:r>
        <w:r>
          <w:rPr>
            <w:noProof/>
          </w:rPr>
          <w:t>2</w:t>
        </w:r>
        <w:r>
          <w:rPr>
            <w:noProof/>
          </w:rPr>
          <w:fldChar w:fldCharType="end"/>
        </w:r>
      </w:p>
    </w:sdtContent>
  </w:sdt>
  <w:p w14:paraId="19B8A4F5" w14:textId="77777777" w:rsidR="000608B4" w:rsidRDefault="00060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7E4" w14:textId="77777777" w:rsidR="000608B4" w:rsidRDefault="000608B4" w:rsidP="000608B4">
      <w:pPr>
        <w:spacing w:after="0" w:line="240" w:lineRule="auto"/>
      </w:pPr>
      <w:r>
        <w:separator/>
      </w:r>
    </w:p>
  </w:footnote>
  <w:footnote w:type="continuationSeparator" w:id="0">
    <w:p w14:paraId="09C4EBF4" w14:textId="77777777" w:rsidR="000608B4" w:rsidRDefault="000608B4" w:rsidP="00060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1879E" w14:textId="62587945" w:rsidR="000608B4" w:rsidRDefault="000608B4" w:rsidP="000608B4">
    <w:pPr>
      <w:pStyle w:val="Header"/>
      <w:jc w:val="right"/>
    </w:pPr>
    <w:r w:rsidRPr="007A3DA4">
      <w:rPr>
        <w:noProof/>
      </w:rPr>
      <w:drawing>
        <wp:inline distT="0" distB="0" distL="0" distR="0" wp14:anchorId="1EC2C503" wp14:editId="201D4946">
          <wp:extent cx="2257425" cy="802167"/>
          <wp:effectExtent l="0" t="0" r="0" b="0"/>
          <wp:docPr id="1" name="Picture 1" descr="C:\Users\vdesmond\AppData\Local\Microsoft\Windows\Temporary Internet Files\Content.Word\CQI IRCA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desmond\AppData\Local\Microsoft\Windows\Temporary Internet Files\Content.Word\CQI IRCA CMYK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568" cy="802573"/>
                  </a:xfrm>
                  <a:prstGeom prst="rect">
                    <a:avLst/>
                  </a:prstGeom>
                  <a:noFill/>
                  <a:ln>
                    <a:noFill/>
                  </a:ln>
                </pic:spPr>
              </pic:pic>
            </a:graphicData>
          </a:graphic>
        </wp:inline>
      </w:drawing>
    </w:r>
  </w:p>
  <w:p w14:paraId="0C71F697" w14:textId="77777777" w:rsidR="000608B4" w:rsidRDefault="00060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5358"/>
    <w:multiLevelType w:val="hybridMultilevel"/>
    <w:tmpl w:val="2AA8D9E0"/>
    <w:lvl w:ilvl="0" w:tplc="19C4DEBA">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B240316"/>
    <w:multiLevelType w:val="multilevel"/>
    <w:tmpl w:val="60F4055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15:restartNumberingAfterBreak="0">
    <w:nsid w:val="1FAC3765"/>
    <w:multiLevelType w:val="hybridMultilevel"/>
    <w:tmpl w:val="D06C4CE0"/>
    <w:lvl w:ilvl="0" w:tplc="6FAEFEAC">
      <w:start w:val="1"/>
      <w:numFmt w:val="upperLetter"/>
      <w:lvlText w:val="%1."/>
      <w:lvlJc w:val="left"/>
      <w:pPr>
        <w:ind w:left="720" w:hanging="360"/>
      </w:pPr>
      <w:rPr>
        <w:rFonts w:cs="FrutigerLTStd-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74F24"/>
    <w:multiLevelType w:val="multilevel"/>
    <w:tmpl w:val="3FF40770"/>
    <w:lvl w:ilvl="0">
      <w:start w:val="1"/>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61874F75"/>
    <w:multiLevelType w:val="multilevel"/>
    <w:tmpl w:val="0D36250C"/>
    <w:lvl w:ilvl="0">
      <w:start w:val="1"/>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rFonts w:cs="Times New Roman"/>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73D73FD0"/>
    <w:multiLevelType w:val="hybridMultilevel"/>
    <w:tmpl w:val="39ACE9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AD"/>
    <w:rsid w:val="000608B4"/>
    <w:rsid w:val="001F5D51"/>
    <w:rsid w:val="00312485"/>
    <w:rsid w:val="003B4373"/>
    <w:rsid w:val="009657AE"/>
    <w:rsid w:val="00B664DB"/>
    <w:rsid w:val="00BF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0B6CF"/>
  <w15:chartTrackingRefBased/>
  <w15:docId w15:val="{E94A3FB4-3F45-43C8-8A90-D461022E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8B4"/>
  </w:style>
  <w:style w:type="paragraph" w:styleId="Footer">
    <w:name w:val="footer"/>
    <w:basedOn w:val="Normal"/>
    <w:link w:val="FooterChar"/>
    <w:uiPriority w:val="99"/>
    <w:unhideWhenUsed/>
    <w:rsid w:val="00060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B4"/>
  </w:style>
  <w:style w:type="table" w:styleId="TableGrid">
    <w:name w:val="Table Grid"/>
    <w:basedOn w:val="TableNormal"/>
    <w:uiPriority w:val="59"/>
    <w:rsid w:val="00060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a5ed640-5e5c-4134-abfc-942103a8bfc5" ContentTypeId="0x0101009D0DFCC28B6AD5418FE1FAAA1DBCCDD80108" PreviousValue="false"/>
</file>

<file path=customXml/item2.xml><?xml version="1.0" encoding="utf-8"?>
<ct:contentTypeSchema xmlns:ct="http://schemas.microsoft.com/office/2006/metadata/contentType" xmlns:ma="http://schemas.microsoft.com/office/2006/metadata/properties/metaAttributes" ct:_="" ma:_="" ma:contentTypeName="Terms of Reference" ma:contentTypeID="0x0101009D0DFCC28B6AD5418FE1FAAA1DBCCDD8010800C29BAB4F80CAF94C93516C6EFDFBEF80" ma:contentTypeVersion="3" ma:contentTypeDescription="" ma:contentTypeScope="" ma:versionID="7f8293ce66ed7a7dcdabe352b6e440fd">
  <xsd:schema xmlns:xsd="http://www.w3.org/2001/XMLSchema" xmlns:xs="http://www.w3.org/2001/XMLSchema" xmlns:p="http://schemas.microsoft.com/office/2006/metadata/properties" xmlns:ns2="05bf0216-7f0e-4731-8dd1-6f97e804131d" targetNamespace="http://schemas.microsoft.com/office/2006/metadata/properties" ma:root="true" ma:fieldsID="107950fa7deefdd5d171910cfd25f3cb" ns2:_="">
    <xsd:import namespace="05bf0216-7f0e-4731-8dd1-6f97e804131d"/>
    <xsd:element name="properties">
      <xsd:complexType>
        <xsd:sequence>
          <xsd:element name="documentManagement">
            <xsd:complexType>
              <xsd:all>
                <xsd:element ref="ns2:documentowner"/>
                <xsd:element ref="ns2:documentapprover"/>
                <xsd:element ref="ns2:nextreviewdate"/>
                <xsd:element ref="ns2:approvaldate"/>
                <xsd:element ref="ns2:hasrelateddocuments"/>
                <xsd:element ref="ns2:trainingrequirement"/>
                <xsd:element ref="ns2:relateddocu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f0216-7f0e-4731-8dd1-6f97e804131d" elementFormDefault="qualified">
    <xsd:import namespace="http://schemas.microsoft.com/office/2006/documentManagement/types"/>
    <xsd:import namespace="http://schemas.microsoft.com/office/infopath/2007/PartnerControls"/>
    <xsd:element name="documentowner" ma:index="8" ma:displayName="Document Owner" ma:internalName="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approver" ma:index="9" ma:displayName="Document Approver" ma:internalName="documentapprov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reviewdate" ma:index="10" ma:displayName="Next Review Date" ma:internalName="nextreviewdate" ma:readOnly="false">
      <xsd:simpleType>
        <xsd:restriction base="dms:DateTime"/>
      </xsd:simpleType>
    </xsd:element>
    <xsd:element name="approvaldate" ma:index="11" ma:displayName="Approval Date" ma:internalName="approvaldate" ma:readOnly="false">
      <xsd:simpleType>
        <xsd:restriction base="dms:DateTime"/>
      </xsd:simpleType>
    </xsd:element>
    <xsd:element name="hasrelateddocuments" ma:index="12" ma:displayName="Has Related Documents" ma:default="No" ma:format="Dropdown" ma:internalName="hasrelateddocuments" ma:readOnly="false">
      <xsd:simpleType>
        <xsd:restriction base="dms:Choice">
          <xsd:enumeration value="Yes"/>
          <xsd:enumeration value="No"/>
        </xsd:restriction>
      </xsd:simpleType>
    </xsd:element>
    <xsd:element name="trainingrequirement" ma:index="13" ma:displayName="Training Requirement" ma:default="No" ma:format="Dropdown" ma:internalName="trainingrequirement" ma:readOnly="false">
      <xsd:simpleType>
        <xsd:restriction base="dms:Choice">
          <xsd:enumeration value="Yes"/>
          <xsd:enumeration value="No"/>
        </xsd:restriction>
      </xsd:simpleType>
    </xsd:element>
    <xsd:element name="relateddocuments" ma:index="14" nillable="true" ma:displayName="Related Documents" ma:internalName="relateddocu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documents xmlns="05bf0216-7f0e-4731-8dd1-6f97e804131d" xsi:nil="true"/>
    <trainingrequirement xmlns="05bf0216-7f0e-4731-8dd1-6f97e804131d">No</trainingrequirement>
    <documentowner xmlns="05bf0216-7f0e-4731-8dd1-6f97e804131d">
      <UserInfo>
        <DisplayName>Helen Flannery</DisplayName>
        <AccountId>12</AccountId>
        <AccountType/>
      </UserInfo>
    </documentowner>
    <documentapprover xmlns="05bf0216-7f0e-4731-8dd1-6f97e804131d">
      <UserInfo>
        <DisplayName>Andrew Lannin</DisplayName>
        <AccountId>13</AccountId>
        <AccountType/>
      </UserInfo>
    </documentapprover>
    <hasrelateddocuments xmlns="05bf0216-7f0e-4731-8dd1-6f97e804131d">No</hasrelateddocuments>
    <approvaldate xmlns="05bf0216-7f0e-4731-8dd1-6f97e804131d">2018-08-31T23:00:00+00:00</approvaldate>
    <nextreviewdate xmlns="05bf0216-7f0e-4731-8dd1-6f97e804131d">2020-11-01T00:00:00+00:00</nextreviewdate>
  </documentManagement>
</p:properties>
</file>

<file path=customXml/itemProps1.xml><?xml version="1.0" encoding="utf-8"?>
<ds:datastoreItem xmlns:ds="http://schemas.openxmlformats.org/officeDocument/2006/customXml" ds:itemID="{E2A0A3B6-9D16-42EF-83B3-ECC87BF341AD}"/>
</file>

<file path=customXml/itemProps2.xml><?xml version="1.0" encoding="utf-8"?>
<ds:datastoreItem xmlns:ds="http://schemas.openxmlformats.org/officeDocument/2006/customXml" ds:itemID="{96785A75-8AF7-4A7C-BD6E-0D4A2D0929B9}"/>
</file>

<file path=customXml/itemProps3.xml><?xml version="1.0" encoding="utf-8"?>
<ds:datastoreItem xmlns:ds="http://schemas.openxmlformats.org/officeDocument/2006/customXml" ds:itemID="{19DC1B7D-5404-4AB1-BF3E-C71A04CC48E7}"/>
</file>

<file path=customXml/itemProps4.xml><?xml version="1.0" encoding="utf-8"?>
<ds:datastoreItem xmlns:ds="http://schemas.openxmlformats.org/officeDocument/2006/customXml" ds:itemID="{BD043D58-3080-4D0F-A975-234170614157}"/>
</file>

<file path=docProps/app.xml><?xml version="1.0" encoding="utf-8"?>
<Properties xmlns="http://schemas.openxmlformats.org/officeDocument/2006/extended-properties" xmlns:vt="http://schemas.openxmlformats.org/officeDocument/2006/docPropsVTypes">
  <Template>Normal</Template>
  <TotalTime>9</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CQI0095 GRC Terms of Reference.docx</dc:title>
  <dc:subject/>
  <dc:creator>Vince Desmond</dc:creator>
  <cp:keywords/>
  <dc:description/>
  <cp:lastModifiedBy>Helen Flannery</cp:lastModifiedBy>
  <cp:revision>5</cp:revision>
  <cp:lastPrinted>2018-11-13T15:14:00Z</cp:lastPrinted>
  <dcterms:created xsi:type="dcterms:W3CDTF">2018-10-17T16:17:00Z</dcterms:created>
  <dcterms:modified xsi:type="dcterms:W3CDTF">2019-07-09T13:29:00Z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0x0101009D0DFCC28B6AD5418FE1FAAA1DBCCDD8010800C29BAB4F80CAF94C93516C6EFDFBEF80</vt:lpwstr>
  </property>
  <property fmtid="{D5CDD505-2E9C-101B-9397-08002B2CF9AE}" pid="3" name="Order">
    <vt:r8>100</vt:r8>
  </property>
  <property fmtid="{D5CDD505-2E9C-101B-9397-08002B2CF9AE}" pid="4" name="xd_Signature">
    <vt:bool>false</vt:bool>
  </property>
  <property fmtid="{D5CDD505-2E9C-101B-9397-08002B2CF9AE}" pid="5" name="SharedWithUsers">
    <vt:lpwstr>12;#Helen Flannery;#1073741823;#System Account</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